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313105</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timing adjustment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8.13.4.3</w:t>
      </w:r>
      <w:bookmarkStart w:id="1" w:name="_GoBack"/>
      <w:bookmarkEnd w:id="1"/>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were achieved in [1] around timing and frequency adjustment: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9" w:hRule="atLeast"/>
        </w:trPr>
        <w:tc>
          <w:tcPr>
            <w:tcW w:w="9514" w:type="dxa"/>
          </w:tcPr>
          <w:p>
            <w:pPr>
              <w:rPr>
                <w:b/>
                <w:sz w:val="20"/>
                <w:szCs w:val="20"/>
                <w:u w:val="single"/>
                <w:lang w:eastAsia="ko-KR"/>
              </w:rPr>
            </w:pPr>
            <w:r>
              <w:rPr>
                <w:b/>
                <w:sz w:val="20"/>
                <w:szCs w:val="20"/>
                <w:u w:val="single"/>
                <w:lang w:eastAsia="ko-KR"/>
              </w:rPr>
              <w:t>Issue 3-1-1: Initial transmit timing requirements T</w:t>
            </w:r>
            <w:r>
              <w:rPr>
                <w:b/>
                <w:sz w:val="20"/>
                <w:szCs w:val="20"/>
                <w:u w:val="single"/>
                <w:vertAlign w:val="subscript"/>
                <w:lang w:eastAsia="ko-KR"/>
              </w:rPr>
              <w:t>e</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w:t>
            </w:r>
          </w:p>
          <w:p>
            <w:pPr>
              <w:pStyle w:val="28"/>
              <w:numPr>
                <w:ilvl w:val="0"/>
                <w:numId w:val="4"/>
              </w:numPr>
              <w:spacing w:after="120"/>
              <w:ind w:firstLineChars="0"/>
              <w:rPr>
                <w:sz w:val="20"/>
                <w:szCs w:val="20"/>
              </w:rPr>
            </w:pPr>
            <w:r>
              <w:rPr>
                <w:sz w:val="20"/>
                <w:szCs w:val="20"/>
              </w:rPr>
              <w:t xml:space="preserve">For ATG network, it is suggested that the ideal UE-specific TA is based on the indicated BS location and the actual UE location, where the UE pre-compensation timing error does not consider the timing error due to the misalignment between the indicated BS location and the actual BS location. </w:t>
            </w:r>
          </w:p>
          <w:tbl>
            <w:tblPr>
              <w:tblStyle w:val="16"/>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1"/>
              <w:gridCol w:w="1470"/>
              <w:gridCol w:w="1471"/>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Align w:val="center"/>
                </w:tcPr>
                <w:p>
                  <w:pPr>
                    <w:pStyle w:val="33"/>
                    <w:keepNext w:val="0"/>
                    <w:keepLines w:val="0"/>
                    <w:widowControl w:val="0"/>
                    <w:rPr>
                      <w:rFonts w:ascii="Times New Roman" w:hAnsi="Times New Roman"/>
                      <w:sz w:val="20"/>
                      <w:szCs w:val="20"/>
                    </w:rPr>
                  </w:pPr>
                  <w:r>
                    <w:rPr>
                      <w:rFonts w:ascii="Times New Roman" w:hAnsi="Times New Roman"/>
                      <w:sz w:val="20"/>
                      <w:szCs w:val="20"/>
                    </w:rPr>
                    <w:t>Frequency Range</w:t>
                  </w:r>
                </w:p>
              </w:tc>
              <w:tc>
                <w:tcPr>
                  <w:tcW w:w="1244" w:type="pct"/>
                  <w:vAlign w:val="center"/>
                </w:tcPr>
                <w:p>
                  <w:pPr>
                    <w:pStyle w:val="33"/>
                    <w:keepNext w:val="0"/>
                    <w:keepLines w:val="0"/>
                    <w:widowControl w:val="0"/>
                    <w:rPr>
                      <w:rFonts w:ascii="Times New Roman" w:hAnsi="Times New Roman"/>
                      <w:sz w:val="20"/>
                      <w:szCs w:val="20"/>
                    </w:rPr>
                  </w:pPr>
                  <w:r>
                    <w:rPr>
                      <w:rFonts w:ascii="Times New Roman" w:hAnsi="Times New Roman"/>
                      <w:sz w:val="20"/>
                      <w:szCs w:val="20"/>
                    </w:rPr>
                    <w:t>SCS of SSB signals (kHz)</w:t>
                  </w:r>
                </w:p>
              </w:tc>
              <w:tc>
                <w:tcPr>
                  <w:tcW w:w="1245" w:type="pct"/>
                  <w:vAlign w:val="center"/>
                </w:tcPr>
                <w:p>
                  <w:pPr>
                    <w:pStyle w:val="33"/>
                    <w:keepNext w:val="0"/>
                    <w:keepLines w:val="0"/>
                    <w:widowControl w:val="0"/>
                    <w:rPr>
                      <w:rFonts w:ascii="Times New Roman" w:hAnsi="Times New Roman"/>
                      <w:sz w:val="20"/>
                      <w:szCs w:val="20"/>
                    </w:rPr>
                  </w:pPr>
                  <w:r>
                    <w:rPr>
                      <w:rFonts w:ascii="Times New Roman" w:hAnsi="Times New Roman"/>
                      <w:sz w:val="20"/>
                      <w:szCs w:val="20"/>
                    </w:rPr>
                    <w:t>SCS of uplink signals (kHz)</w:t>
                  </w:r>
                </w:p>
              </w:tc>
              <w:tc>
                <w:tcPr>
                  <w:tcW w:w="1478" w:type="pct"/>
                  <w:vAlign w:val="center"/>
                </w:tcPr>
                <w:p>
                  <w:pPr>
                    <w:pStyle w:val="33"/>
                    <w:keepNext w:val="0"/>
                    <w:keepLines w:val="0"/>
                    <w:widowControl w:val="0"/>
                    <w:rPr>
                      <w:rFonts w:ascii="Times New Roman" w:hAnsi="Times New Roman"/>
                      <w:sz w:val="20"/>
                      <w:szCs w:val="20"/>
                    </w:rPr>
                  </w:pPr>
                  <w:r>
                    <w:rPr>
                      <w:rFonts w:ascii="Times New Roman" w:hAnsi="Times New Roman"/>
                      <w:sz w:val="20"/>
                      <w:szCs w:val="20"/>
                    </w:rPr>
                    <w:t>T</w:t>
                  </w:r>
                  <w:r>
                    <w:rPr>
                      <w:rFonts w:ascii="Times New Roman" w:hAnsi="Times New Roman"/>
                      <w:sz w:val="20"/>
                      <w:szCs w:val="20"/>
                      <w:vertAlign w:val="subscript"/>
                    </w:rPr>
                    <w:t>e_ATG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vAlign w:val="center"/>
                </w:tcPr>
                <w:p>
                  <w:pPr>
                    <w:pStyle w:val="34"/>
                    <w:keepNext w:val="0"/>
                    <w:keepLines w:val="0"/>
                    <w:widowControl w:val="0"/>
                    <w:rPr>
                      <w:rFonts w:ascii="Times New Roman" w:hAnsi="Times New Roman"/>
                      <w:sz w:val="20"/>
                      <w:szCs w:val="20"/>
                    </w:rPr>
                  </w:pPr>
                  <w:r>
                    <w:rPr>
                      <w:rFonts w:ascii="Times New Roman" w:hAnsi="Times New Roman"/>
                      <w:sz w:val="20"/>
                      <w:szCs w:val="20"/>
                    </w:rPr>
                    <w:t>1</w:t>
                  </w:r>
                </w:p>
              </w:tc>
              <w:tc>
                <w:tcPr>
                  <w:tcW w:w="1244" w:type="pct"/>
                  <w:tcBorders>
                    <w:bottom w:val="nil"/>
                  </w:tcBorders>
                  <w:vAlign w:val="center"/>
                </w:tcPr>
                <w:p>
                  <w:pPr>
                    <w:pStyle w:val="34"/>
                    <w:keepNext w:val="0"/>
                    <w:keepLines w:val="0"/>
                    <w:widowControl w:val="0"/>
                    <w:rPr>
                      <w:rFonts w:ascii="Times New Roman" w:hAnsi="Times New Roman"/>
                      <w:sz w:val="20"/>
                      <w:szCs w:val="20"/>
                    </w:rPr>
                  </w:pPr>
                  <w:r>
                    <w:rPr>
                      <w:rFonts w:ascii="Times New Roman" w:hAnsi="Times New Roman"/>
                      <w:sz w:val="20"/>
                      <w:szCs w:val="20"/>
                    </w:rPr>
                    <w:t>15</w:t>
                  </w:r>
                </w:p>
              </w:tc>
              <w:tc>
                <w:tcPr>
                  <w:tcW w:w="1245" w:type="pct"/>
                </w:tcPr>
                <w:p>
                  <w:pPr>
                    <w:pStyle w:val="34"/>
                    <w:keepNext w:val="0"/>
                    <w:keepLines w:val="0"/>
                    <w:widowControl w:val="0"/>
                    <w:rPr>
                      <w:rFonts w:ascii="Times New Roman" w:hAnsi="Times New Roman"/>
                      <w:sz w:val="20"/>
                      <w:szCs w:val="20"/>
                    </w:rPr>
                  </w:pPr>
                  <w:r>
                    <w:rPr>
                      <w:rFonts w:ascii="Times New Roman" w:hAnsi="Times New Roman"/>
                      <w:sz w:val="20"/>
                      <w:szCs w:val="20"/>
                    </w:rPr>
                    <w:t>15</w:t>
                  </w:r>
                </w:p>
              </w:tc>
              <w:tc>
                <w:tcPr>
                  <w:tcW w:w="1478" w:type="pct"/>
                </w:tcPr>
                <w:p>
                  <w:pPr>
                    <w:pStyle w:val="34"/>
                    <w:keepNext w:val="0"/>
                    <w:keepLines w:val="0"/>
                    <w:widowControl w:val="0"/>
                    <w:rPr>
                      <w:rFonts w:ascii="Times New Roman" w:hAnsi="Times New Roman"/>
                      <w:sz w:val="20"/>
                      <w:szCs w:val="20"/>
                    </w:rPr>
                  </w:pPr>
                  <w:r>
                    <w:rPr>
                      <w:rFonts w:ascii="Times New Roman" w:hAnsi="Times New Roman"/>
                      <w:sz w:val="20"/>
                      <w:szCs w:val="20"/>
                    </w:rPr>
                    <w:t>20*64*T</w:t>
                  </w:r>
                  <w:r>
                    <w:rPr>
                      <w:rFonts w:ascii="Times New Roman" w:hAnsi="Times New Roman"/>
                      <w:sz w:val="20"/>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34"/>
                    <w:keepNext w:val="0"/>
                    <w:keepLines w:val="0"/>
                    <w:widowControl w:val="0"/>
                    <w:rPr>
                      <w:rFonts w:ascii="Times New Roman" w:hAnsi="Times New Roman"/>
                      <w:sz w:val="20"/>
                      <w:szCs w:val="20"/>
                    </w:rPr>
                  </w:pPr>
                </w:p>
              </w:tc>
              <w:tc>
                <w:tcPr>
                  <w:tcW w:w="1244" w:type="pct"/>
                  <w:tcBorders>
                    <w:top w:val="nil"/>
                    <w:bottom w:val="nil"/>
                  </w:tcBorders>
                  <w:vAlign w:val="center"/>
                </w:tcPr>
                <w:p>
                  <w:pPr>
                    <w:pStyle w:val="34"/>
                    <w:keepNext w:val="0"/>
                    <w:keepLines w:val="0"/>
                    <w:widowControl w:val="0"/>
                    <w:rPr>
                      <w:rFonts w:ascii="Times New Roman" w:hAnsi="Times New Roman"/>
                      <w:sz w:val="20"/>
                      <w:szCs w:val="20"/>
                    </w:rPr>
                  </w:pPr>
                </w:p>
              </w:tc>
              <w:tc>
                <w:tcPr>
                  <w:tcW w:w="1245" w:type="pct"/>
                </w:tcPr>
                <w:p>
                  <w:pPr>
                    <w:pStyle w:val="34"/>
                    <w:keepNext w:val="0"/>
                    <w:keepLines w:val="0"/>
                    <w:widowControl w:val="0"/>
                    <w:rPr>
                      <w:rFonts w:ascii="Times New Roman" w:hAnsi="Times New Roman"/>
                      <w:sz w:val="20"/>
                      <w:szCs w:val="20"/>
                    </w:rPr>
                  </w:pPr>
                  <w:r>
                    <w:rPr>
                      <w:rFonts w:ascii="Times New Roman" w:hAnsi="Times New Roman"/>
                      <w:sz w:val="20"/>
                      <w:szCs w:val="20"/>
                    </w:rPr>
                    <w:t>30</w:t>
                  </w:r>
                </w:p>
              </w:tc>
              <w:tc>
                <w:tcPr>
                  <w:tcW w:w="1478" w:type="pct"/>
                </w:tcPr>
                <w:p>
                  <w:pPr>
                    <w:pStyle w:val="34"/>
                    <w:keepNext w:val="0"/>
                    <w:keepLines w:val="0"/>
                    <w:widowControl w:val="0"/>
                    <w:rPr>
                      <w:rFonts w:ascii="Times New Roman" w:hAnsi="Times New Roman"/>
                      <w:sz w:val="20"/>
                      <w:szCs w:val="20"/>
                    </w:rPr>
                  </w:pPr>
                  <w:r>
                    <w:rPr>
                      <w:rFonts w:ascii="Times New Roman" w:hAnsi="Times New Roman"/>
                      <w:sz w:val="20"/>
                      <w:szCs w:val="20"/>
                    </w:rPr>
                    <w:t>18*64*T</w:t>
                  </w:r>
                  <w:r>
                    <w:rPr>
                      <w:rFonts w:ascii="Times New Roman" w:hAnsi="Times New Roman"/>
                      <w:sz w:val="20"/>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34"/>
                    <w:keepNext w:val="0"/>
                    <w:keepLines w:val="0"/>
                    <w:widowControl w:val="0"/>
                    <w:rPr>
                      <w:rFonts w:ascii="Times New Roman" w:hAnsi="Times New Roman"/>
                      <w:sz w:val="20"/>
                      <w:szCs w:val="20"/>
                    </w:rPr>
                  </w:pPr>
                </w:p>
              </w:tc>
              <w:tc>
                <w:tcPr>
                  <w:tcW w:w="1244" w:type="pct"/>
                  <w:tcBorders>
                    <w:top w:val="nil"/>
                  </w:tcBorders>
                  <w:vAlign w:val="center"/>
                </w:tcPr>
                <w:p>
                  <w:pPr>
                    <w:pStyle w:val="34"/>
                    <w:keepNext w:val="0"/>
                    <w:keepLines w:val="0"/>
                    <w:widowControl w:val="0"/>
                    <w:rPr>
                      <w:rFonts w:ascii="Times New Roman" w:hAnsi="Times New Roman"/>
                      <w:sz w:val="20"/>
                      <w:szCs w:val="20"/>
                    </w:rPr>
                  </w:pPr>
                </w:p>
              </w:tc>
              <w:tc>
                <w:tcPr>
                  <w:tcW w:w="1245" w:type="pct"/>
                </w:tcPr>
                <w:p>
                  <w:pPr>
                    <w:pStyle w:val="34"/>
                    <w:keepNext w:val="0"/>
                    <w:keepLines w:val="0"/>
                    <w:widowControl w:val="0"/>
                    <w:rPr>
                      <w:rFonts w:ascii="Times New Roman" w:hAnsi="Times New Roman"/>
                      <w:sz w:val="20"/>
                      <w:szCs w:val="20"/>
                    </w:rPr>
                  </w:pPr>
                  <w:r>
                    <w:rPr>
                      <w:rFonts w:ascii="Times New Roman" w:hAnsi="Times New Roman"/>
                      <w:sz w:val="20"/>
                      <w:szCs w:val="20"/>
                    </w:rPr>
                    <w:t>60</w:t>
                  </w:r>
                </w:p>
              </w:tc>
              <w:tc>
                <w:tcPr>
                  <w:tcW w:w="1478" w:type="pct"/>
                </w:tcPr>
                <w:p>
                  <w:pPr>
                    <w:pStyle w:val="34"/>
                    <w:keepNext w:val="0"/>
                    <w:keepLines w:val="0"/>
                    <w:widowControl w:val="0"/>
                    <w:rPr>
                      <w:rFonts w:ascii="Times New Roman" w:hAnsi="Times New Roman"/>
                      <w:sz w:val="20"/>
                      <w:szCs w:val="20"/>
                    </w:rPr>
                  </w:pPr>
                  <w:r>
                    <w:rPr>
                      <w:rFonts w:ascii="Times New Roman" w:hAnsi="Times New Roman"/>
                      <w:sz w:val="20"/>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34"/>
                    <w:keepNext w:val="0"/>
                    <w:keepLines w:val="0"/>
                    <w:widowControl w:val="0"/>
                    <w:rPr>
                      <w:rFonts w:ascii="Times New Roman" w:hAnsi="Times New Roman"/>
                      <w:sz w:val="20"/>
                      <w:szCs w:val="20"/>
                    </w:rPr>
                  </w:pPr>
                </w:p>
              </w:tc>
              <w:tc>
                <w:tcPr>
                  <w:tcW w:w="1244" w:type="pct"/>
                  <w:tcBorders>
                    <w:bottom w:val="nil"/>
                  </w:tcBorders>
                  <w:vAlign w:val="center"/>
                </w:tcPr>
                <w:p>
                  <w:pPr>
                    <w:pStyle w:val="34"/>
                    <w:keepNext w:val="0"/>
                    <w:keepLines w:val="0"/>
                    <w:widowControl w:val="0"/>
                    <w:rPr>
                      <w:rFonts w:ascii="Times New Roman" w:hAnsi="Times New Roman"/>
                      <w:sz w:val="20"/>
                      <w:szCs w:val="20"/>
                    </w:rPr>
                  </w:pPr>
                  <w:r>
                    <w:rPr>
                      <w:rFonts w:ascii="Times New Roman" w:hAnsi="Times New Roman"/>
                      <w:sz w:val="20"/>
                      <w:szCs w:val="20"/>
                    </w:rPr>
                    <w:t>30</w:t>
                  </w:r>
                </w:p>
              </w:tc>
              <w:tc>
                <w:tcPr>
                  <w:tcW w:w="1245" w:type="pct"/>
                </w:tcPr>
                <w:p>
                  <w:pPr>
                    <w:pStyle w:val="34"/>
                    <w:keepNext w:val="0"/>
                    <w:keepLines w:val="0"/>
                    <w:widowControl w:val="0"/>
                    <w:rPr>
                      <w:rFonts w:ascii="Times New Roman" w:hAnsi="Times New Roman"/>
                      <w:sz w:val="20"/>
                      <w:szCs w:val="20"/>
                    </w:rPr>
                  </w:pPr>
                  <w:r>
                    <w:rPr>
                      <w:rFonts w:ascii="Times New Roman" w:hAnsi="Times New Roman"/>
                      <w:sz w:val="20"/>
                      <w:szCs w:val="20"/>
                    </w:rPr>
                    <w:t>15</w:t>
                  </w:r>
                </w:p>
              </w:tc>
              <w:tc>
                <w:tcPr>
                  <w:tcW w:w="1478" w:type="pct"/>
                </w:tcPr>
                <w:p>
                  <w:pPr>
                    <w:pStyle w:val="34"/>
                    <w:keepNext w:val="0"/>
                    <w:keepLines w:val="0"/>
                    <w:widowControl w:val="0"/>
                    <w:rPr>
                      <w:rFonts w:ascii="Times New Roman" w:hAnsi="Times New Roman"/>
                      <w:sz w:val="20"/>
                      <w:szCs w:val="20"/>
                    </w:rPr>
                  </w:pPr>
                  <w:r>
                    <w:rPr>
                      <w:rFonts w:ascii="Times New Roman" w:hAnsi="Times New Roman"/>
                      <w:sz w:val="20"/>
                      <w:szCs w:val="20"/>
                    </w:rPr>
                    <w:t>16*64*T</w:t>
                  </w:r>
                  <w:r>
                    <w:rPr>
                      <w:rFonts w:ascii="Times New Roman" w:hAnsi="Times New Roman"/>
                      <w:sz w:val="20"/>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34"/>
                    <w:keepNext w:val="0"/>
                    <w:keepLines w:val="0"/>
                    <w:widowControl w:val="0"/>
                    <w:rPr>
                      <w:rFonts w:ascii="Times New Roman" w:hAnsi="Times New Roman"/>
                      <w:sz w:val="20"/>
                      <w:szCs w:val="20"/>
                    </w:rPr>
                  </w:pPr>
                </w:p>
              </w:tc>
              <w:tc>
                <w:tcPr>
                  <w:tcW w:w="1244" w:type="pct"/>
                  <w:tcBorders>
                    <w:top w:val="nil"/>
                    <w:bottom w:val="nil"/>
                  </w:tcBorders>
                  <w:vAlign w:val="center"/>
                </w:tcPr>
                <w:p>
                  <w:pPr>
                    <w:pStyle w:val="34"/>
                    <w:keepNext w:val="0"/>
                    <w:keepLines w:val="0"/>
                    <w:widowControl w:val="0"/>
                    <w:rPr>
                      <w:rFonts w:ascii="Times New Roman" w:hAnsi="Times New Roman"/>
                      <w:sz w:val="20"/>
                      <w:szCs w:val="20"/>
                    </w:rPr>
                  </w:pPr>
                </w:p>
              </w:tc>
              <w:tc>
                <w:tcPr>
                  <w:tcW w:w="1245" w:type="pct"/>
                </w:tcPr>
                <w:p>
                  <w:pPr>
                    <w:pStyle w:val="34"/>
                    <w:keepNext w:val="0"/>
                    <w:keepLines w:val="0"/>
                    <w:widowControl w:val="0"/>
                    <w:rPr>
                      <w:rFonts w:ascii="Times New Roman" w:hAnsi="Times New Roman"/>
                      <w:sz w:val="20"/>
                      <w:szCs w:val="20"/>
                    </w:rPr>
                  </w:pPr>
                  <w:r>
                    <w:rPr>
                      <w:rFonts w:ascii="Times New Roman" w:hAnsi="Times New Roman"/>
                      <w:sz w:val="20"/>
                      <w:szCs w:val="20"/>
                    </w:rPr>
                    <w:t>30</w:t>
                  </w:r>
                </w:p>
              </w:tc>
              <w:tc>
                <w:tcPr>
                  <w:tcW w:w="1478" w:type="pct"/>
                </w:tcPr>
                <w:p>
                  <w:pPr>
                    <w:pStyle w:val="34"/>
                    <w:keepNext w:val="0"/>
                    <w:keepLines w:val="0"/>
                    <w:widowControl w:val="0"/>
                    <w:rPr>
                      <w:rFonts w:ascii="Times New Roman" w:hAnsi="Times New Roman"/>
                      <w:sz w:val="20"/>
                      <w:szCs w:val="20"/>
                    </w:rPr>
                  </w:pPr>
                  <w:r>
                    <w:rPr>
                      <w:rFonts w:ascii="Times New Roman" w:hAnsi="Times New Roman"/>
                      <w:sz w:val="20"/>
                      <w:szCs w:val="20"/>
                    </w:rPr>
                    <w:t>16*64*T</w:t>
                  </w:r>
                  <w:r>
                    <w:rPr>
                      <w:rFonts w:ascii="Times New Roman" w:hAnsi="Times New Roman"/>
                      <w:sz w:val="20"/>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single" w:color="auto" w:sz="4" w:space="0"/>
                  </w:tcBorders>
                  <w:vAlign w:val="center"/>
                </w:tcPr>
                <w:p>
                  <w:pPr>
                    <w:pStyle w:val="34"/>
                    <w:keepNext w:val="0"/>
                    <w:keepLines w:val="0"/>
                    <w:widowControl w:val="0"/>
                    <w:rPr>
                      <w:rFonts w:ascii="Times New Roman" w:hAnsi="Times New Roman"/>
                      <w:sz w:val="20"/>
                      <w:szCs w:val="20"/>
                    </w:rPr>
                  </w:pPr>
                </w:p>
              </w:tc>
              <w:tc>
                <w:tcPr>
                  <w:tcW w:w="1244" w:type="pct"/>
                  <w:tcBorders>
                    <w:top w:val="nil"/>
                    <w:bottom w:val="single" w:color="auto" w:sz="4" w:space="0"/>
                  </w:tcBorders>
                  <w:vAlign w:val="center"/>
                </w:tcPr>
                <w:p>
                  <w:pPr>
                    <w:pStyle w:val="34"/>
                    <w:keepNext w:val="0"/>
                    <w:keepLines w:val="0"/>
                    <w:widowControl w:val="0"/>
                    <w:rPr>
                      <w:rFonts w:ascii="Times New Roman" w:hAnsi="Times New Roman"/>
                      <w:sz w:val="20"/>
                      <w:szCs w:val="20"/>
                    </w:rPr>
                  </w:pPr>
                </w:p>
              </w:tc>
              <w:tc>
                <w:tcPr>
                  <w:tcW w:w="1245" w:type="pct"/>
                </w:tcPr>
                <w:p>
                  <w:pPr>
                    <w:pStyle w:val="34"/>
                    <w:keepNext w:val="0"/>
                    <w:keepLines w:val="0"/>
                    <w:widowControl w:val="0"/>
                    <w:rPr>
                      <w:rFonts w:ascii="Times New Roman" w:hAnsi="Times New Roman"/>
                      <w:sz w:val="20"/>
                      <w:szCs w:val="20"/>
                    </w:rPr>
                  </w:pPr>
                  <w:r>
                    <w:rPr>
                      <w:rFonts w:ascii="Times New Roman" w:hAnsi="Times New Roman"/>
                      <w:sz w:val="20"/>
                      <w:szCs w:val="20"/>
                    </w:rPr>
                    <w:t>60</w:t>
                  </w:r>
                </w:p>
              </w:tc>
              <w:tc>
                <w:tcPr>
                  <w:tcW w:w="1478" w:type="pct"/>
                </w:tcPr>
                <w:p>
                  <w:pPr>
                    <w:pStyle w:val="34"/>
                    <w:keepNext w:val="0"/>
                    <w:keepLines w:val="0"/>
                    <w:widowControl w:val="0"/>
                    <w:rPr>
                      <w:rFonts w:ascii="Times New Roman" w:hAnsi="Times New Roman"/>
                      <w:sz w:val="20"/>
                      <w:szCs w:val="20"/>
                    </w:rPr>
                  </w:pPr>
                  <w:r>
                    <w:rPr>
                      <w:rFonts w:ascii="Times New Roman" w:hAnsi="Times New Roman"/>
                      <w:sz w:val="20"/>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52"/>
                    <w:keepNext w:val="0"/>
                    <w:keepLines w:val="0"/>
                    <w:widowControl w:val="0"/>
                    <w:rPr>
                      <w:rFonts w:ascii="Times New Roman" w:hAnsi="Times New Roman"/>
                      <w:sz w:val="20"/>
                      <w:szCs w:val="20"/>
                    </w:rPr>
                  </w:pPr>
                  <w:r>
                    <w:rPr>
                      <w:rFonts w:ascii="Times New Roman" w:hAnsi="Times New Roman"/>
                      <w:sz w:val="20"/>
                      <w:szCs w:val="20"/>
                    </w:rPr>
                    <w:t>Note 1:</w:t>
                  </w:r>
                  <w:r>
                    <w:rPr>
                      <w:rFonts w:ascii="Times New Roman" w:hAnsi="Times New Roman"/>
                      <w:sz w:val="20"/>
                      <w:szCs w:val="20"/>
                    </w:rPr>
                    <w:tab/>
                  </w:r>
                  <w:r>
                    <w:rPr>
                      <w:rFonts w:ascii="Times New Roman" w:hAnsi="Times New Roman"/>
                      <w:sz w:val="20"/>
                      <w:szCs w:val="20"/>
                    </w:rPr>
                    <w:t>T</w:t>
                  </w:r>
                  <w:r>
                    <w:rPr>
                      <w:rFonts w:ascii="Times New Roman" w:hAnsi="Times New Roman"/>
                      <w:sz w:val="20"/>
                      <w:szCs w:val="20"/>
                      <w:vertAlign w:val="subscript"/>
                    </w:rPr>
                    <w:t>c</w:t>
                  </w:r>
                  <w:r>
                    <w:rPr>
                      <w:rFonts w:ascii="Times New Roman" w:hAnsi="Times New Roman"/>
                      <w:sz w:val="20"/>
                      <w:szCs w:val="20"/>
                    </w:rPr>
                    <w:t xml:space="preserve"> is the basic timing unit defined in TS 38.211 [6]</w:t>
                  </w:r>
                </w:p>
              </w:tc>
            </w:tr>
          </w:tbl>
          <w:p>
            <w:pPr>
              <w:rPr>
                <w:b/>
                <w:sz w:val="20"/>
                <w:szCs w:val="20"/>
                <w:u w:val="single"/>
                <w:vertAlign w:val="subscript"/>
                <w:lang w:eastAsia="ko-KR"/>
              </w:rPr>
            </w:pPr>
            <w:r>
              <w:rPr>
                <w:b/>
                <w:sz w:val="20"/>
                <w:szCs w:val="20"/>
                <w:u w:val="single"/>
                <w:lang w:eastAsia="ko-KR"/>
              </w:rPr>
              <w:t>Issue 3-1-2: Gradual timing adjustment</w:t>
            </w:r>
            <w:r>
              <w:t xml:space="preserve"> </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 xml:space="preserve">: </w:t>
            </w:r>
          </w:p>
          <w:p>
            <w:pPr>
              <w:pStyle w:val="28"/>
              <w:numPr>
                <w:ilvl w:val="0"/>
                <w:numId w:val="4"/>
              </w:numPr>
              <w:ind w:firstLineChars="0"/>
              <w:rPr>
                <w:rFonts w:eastAsia="宋体" w:cs="Times New Roman"/>
                <w:sz w:val="20"/>
                <w:szCs w:val="20"/>
              </w:rPr>
            </w:pPr>
            <w:r>
              <w:rPr>
                <w:rFonts w:eastAsia="宋体" w:cs="Times New Roman"/>
                <w:sz w:val="20"/>
                <w:szCs w:val="20"/>
              </w:rPr>
              <w:t>For ATG network, the maximum autonomous time adjustment step (T</w:t>
            </w:r>
            <w:r>
              <w:rPr>
                <w:rFonts w:eastAsia="宋体" w:cs="Times New Roman"/>
                <w:sz w:val="20"/>
                <w:szCs w:val="20"/>
                <w:vertAlign w:val="subscript"/>
              </w:rPr>
              <w:t>q_ATG</w:t>
            </w:r>
            <w:r>
              <w:rPr>
                <w:rFonts w:eastAsia="宋体" w:cs="Times New Roman"/>
                <w:sz w:val="20"/>
                <w:szCs w:val="20"/>
              </w:rPr>
              <w:t>) and the minimum aggregate adjustment rate (T</w:t>
            </w:r>
            <w:r>
              <w:rPr>
                <w:rFonts w:eastAsia="宋体" w:cs="Times New Roman"/>
                <w:sz w:val="20"/>
                <w:szCs w:val="20"/>
                <w:vertAlign w:val="subscript"/>
              </w:rPr>
              <w:t>p_ATG</w:t>
            </w:r>
            <w:r>
              <w:rPr>
                <w:rFonts w:eastAsia="宋体" w:cs="Times New Roman"/>
                <w:sz w:val="20"/>
                <w:szCs w:val="20"/>
              </w:rPr>
              <w:t>) for gradual timing adjustment requirments can be defined as follows:</w:t>
            </w:r>
          </w:p>
          <w:tbl>
            <w:tblPr>
              <w:tblStyle w:val="16"/>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1960"/>
              <w:gridCol w:w="1925"/>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single" w:color="auto" w:sz="4" w:space="0"/>
                    <w:left w:val="single" w:color="auto" w:sz="4" w:space="0"/>
                    <w:bottom w:val="single" w:color="auto" w:sz="4" w:space="0"/>
                    <w:right w:val="single" w:color="auto" w:sz="4" w:space="0"/>
                  </w:tcBorders>
                  <w:vAlign w:val="center"/>
                </w:tcPr>
                <w:p>
                  <w:pPr>
                    <w:pStyle w:val="33"/>
                    <w:rPr>
                      <w:rFonts w:ascii="Times New Roman" w:hAnsi="Times New Roman"/>
                      <w:sz w:val="20"/>
                      <w:szCs w:val="20"/>
                    </w:rPr>
                  </w:pPr>
                  <w:r>
                    <w:rPr>
                      <w:rFonts w:ascii="Times New Roman" w:hAnsi="Times New Roman"/>
                      <w:sz w:val="20"/>
                      <w:szCs w:val="20"/>
                    </w:rPr>
                    <w:t>Frequency Range</w:t>
                  </w:r>
                </w:p>
              </w:tc>
              <w:tc>
                <w:tcPr>
                  <w:tcW w:w="1280" w:type="pct"/>
                  <w:tcBorders>
                    <w:top w:val="single" w:color="auto" w:sz="4" w:space="0"/>
                    <w:left w:val="single" w:color="auto" w:sz="4" w:space="0"/>
                    <w:bottom w:val="single" w:color="auto" w:sz="4" w:space="0"/>
                    <w:right w:val="single" w:color="auto" w:sz="4" w:space="0"/>
                  </w:tcBorders>
                </w:tcPr>
                <w:p>
                  <w:pPr>
                    <w:pStyle w:val="33"/>
                    <w:rPr>
                      <w:rFonts w:ascii="Times New Roman" w:hAnsi="Times New Roman"/>
                      <w:sz w:val="20"/>
                      <w:szCs w:val="20"/>
                    </w:rPr>
                  </w:pPr>
                  <w:r>
                    <w:rPr>
                      <w:rFonts w:ascii="Times New Roman" w:hAnsi="Times New Roman"/>
                      <w:sz w:val="20"/>
                      <w:szCs w:val="20"/>
                    </w:rPr>
                    <w:t>SCS of uplink signals (kHz)</w:t>
                  </w:r>
                </w:p>
              </w:tc>
              <w:tc>
                <w:tcPr>
                  <w:tcW w:w="1257" w:type="pct"/>
                  <w:tcBorders>
                    <w:top w:val="single" w:color="auto" w:sz="4" w:space="0"/>
                    <w:left w:val="single" w:color="auto" w:sz="4" w:space="0"/>
                    <w:bottom w:val="single" w:color="auto" w:sz="4" w:space="0"/>
                    <w:right w:val="single" w:color="auto" w:sz="4" w:space="0"/>
                  </w:tcBorders>
                  <w:vAlign w:val="center"/>
                </w:tcPr>
                <w:p>
                  <w:pPr>
                    <w:pStyle w:val="33"/>
                    <w:rPr>
                      <w:rFonts w:ascii="Times New Roman" w:hAnsi="Times New Roman"/>
                      <w:sz w:val="20"/>
                      <w:szCs w:val="20"/>
                    </w:rPr>
                  </w:pPr>
                  <w:r>
                    <w:rPr>
                      <w:rFonts w:ascii="Times New Roman" w:hAnsi="Times New Roman"/>
                      <w:sz w:val="20"/>
                      <w:szCs w:val="20"/>
                    </w:rPr>
                    <w:t>T</w:t>
                  </w:r>
                  <w:r>
                    <w:rPr>
                      <w:rFonts w:ascii="Times New Roman" w:hAnsi="Times New Roman"/>
                      <w:sz w:val="20"/>
                      <w:szCs w:val="20"/>
                      <w:vertAlign w:val="subscript"/>
                    </w:rPr>
                    <w:t>q_ATG</w:t>
                  </w:r>
                </w:p>
              </w:tc>
              <w:tc>
                <w:tcPr>
                  <w:tcW w:w="1258" w:type="pct"/>
                  <w:tcBorders>
                    <w:top w:val="single" w:color="auto" w:sz="4" w:space="0"/>
                    <w:left w:val="single" w:color="auto" w:sz="4" w:space="0"/>
                    <w:bottom w:val="single" w:color="auto" w:sz="4" w:space="0"/>
                    <w:right w:val="single" w:color="auto" w:sz="4" w:space="0"/>
                  </w:tcBorders>
                  <w:vAlign w:val="center"/>
                </w:tcPr>
                <w:p>
                  <w:pPr>
                    <w:pStyle w:val="33"/>
                    <w:rPr>
                      <w:rFonts w:ascii="Times New Roman" w:hAnsi="Times New Roman"/>
                      <w:sz w:val="20"/>
                      <w:szCs w:val="20"/>
                    </w:rPr>
                  </w:pPr>
                  <w:r>
                    <w:rPr>
                      <w:rFonts w:ascii="Times New Roman" w:hAnsi="Times New Roman"/>
                      <w:sz w:val="20"/>
                      <w:szCs w:val="20"/>
                    </w:rPr>
                    <w:t>T</w:t>
                  </w:r>
                  <w:r>
                    <w:rPr>
                      <w:rFonts w:ascii="Times New Roman" w:hAnsi="Times New Roman"/>
                      <w:sz w:val="20"/>
                      <w:szCs w:val="20"/>
                      <w:vertAlign w:val="subscript"/>
                    </w:rPr>
                    <w:t>p_ATG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single" w:color="auto" w:sz="4" w:space="0"/>
                    <w:left w:val="single" w:color="auto" w:sz="4" w:space="0"/>
                    <w:bottom w:val="nil"/>
                    <w:right w:val="single" w:color="auto" w:sz="4" w:space="0"/>
                  </w:tcBorders>
                  <w:vAlign w:val="center"/>
                </w:tcPr>
                <w:p>
                  <w:pPr>
                    <w:pStyle w:val="34"/>
                    <w:rPr>
                      <w:rFonts w:ascii="Times New Roman" w:hAnsi="Times New Roman"/>
                      <w:sz w:val="20"/>
                      <w:szCs w:val="20"/>
                    </w:rPr>
                  </w:pPr>
                  <w:r>
                    <w:rPr>
                      <w:rFonts w:ascii="Times New Roman" w:hAnsi="Times New Roman"/>
                      <w:sz w:val="20"/>
                      <w:szCs w:val="20"/>
                    </w:rPr>
                    <w:t>1</w:t>
                  </w:r>
                </w:p>
              </w:tc>
              <w:tc>
                <w:tcPr>
                  <w:tcW w:w="1280" w:type="pct"/>
                  <w:tcBorders>
                    <w:top w:val="single" w:color="auto" w:sz="4" w:space="0"/>
                    <w:left w:val="single" w:color="auto" w:sz="4" w:space="0"/>
                    <w:bottom w:val="single" w:color="auto" w:sz="4" w:space="0"/>
                    <w:right w:val="single" w:color="auto" w:sz="4" w:space="0"/>
                  </w:tcBorders>
                </w:tcPr>
                <w:p>
                  <w:pPr>
                    <w:pStyle w:val="34"/>
                    <w:rPr>
                      <w:rFonts w:ascii="Times New Roman" w:hAnsi="Times New Roman"/>
                      <w:sz w:val="20"/>
                      <w:szCs w:val="20"/>
                    </w:rPr>
                  </w:pPr>
                  <w:r>
                    <w:rPr>
                      <w:rFonts w:ascii="Times New Roman" w:hAnsi="Times New Roman"/>
                      <w:sz w:val="20"/>
                      <w:szCs w:val="20"/>
                    </w:rPr>
                    <w:t>15</w:t>
                  </w:r>
                </w:p>
              </w:tc>
              <w:tc>
                <w:tcPr>
                  <w:tcW w:w="1257" w:type="pct"/>
                  <w:tcBorders>
                    <w:top w:val="single" w:color="auto" w:sz="4" w:space="0"/>
                    <w:left w:val="single" w:color="auto" w:sz="4" w:space="0"/>
                    <w:bottom w:val="single" w:color="auto" w:sz="4" w:space="0"/>
                    <w:right w:val="single" w:color="auto" w:sz="4" w:space="0"/>
                  </w:tcBorders>
                </w:tcPr>
                <w:p>
                  <w:pPr>
                    <w:pStyle w:val="34"/>
                    <w:rPr>
                      <w:rFonts w:ascii="Times New Roman" w:hAnsi="Times New Roman"/>
                      <w:sz w:val="20"/>
                      <w:szCs w:val="20"/>
                    </w:rPr>
                  </w:pPr>
                  <w:r>
                    <w:rPr>
                      <w:rFonts w:ascii="Times New Roman" w:hAnsi="Times New Roman"/>
                      <w:sz w:val="20"/>
                      <w:szCs w:val="20"/>
                    </w:rPr>
                    <w:t>9.5*64*T</w:t>
                  </w:r>
                  <w:r>
                    <w:rPr>
                      <w:rFonts w:ascii="Times New Roman" w:hAnsi="Times New Roman"/>
                      <w:sz w:val="20"/>
                      <w:szCs w:val="20"/>
                      <w:vertAlign w:val="subscript"/>
                    </w:rPr>
                    <w:t>c</w:t>
                  </w:r>
                </w:p>
              </w:tc>
              <w:tc>
                <w:tcPr>
                  <w:tcW w:w="1258" w:type="pct"/>
                  <w:tcBorders>
                    <w:top w:val="single" w:color="auto" w:sz="4" w:space="0"/>
                    <w:left w:val="single" w:color="auto" w:sz="4" w:space="0"/>
                    <w:bottom w:val="single" w:color="auto" w:sz="4" w:space="0"/>
                    <w:right w:val="single" w:color="auto" w:sz="4" w:space="0"/>
                  </w:tcBorders>
                </w:tcPr>
                <w:p>
                  <w:pPr>
                    <w:pStyle w:val="34"/>
                    <w:rPr>
                      <w:rFonts w:ascii="Times New Roman" w:hAnsi="Times New Roman"/>
                      <w:sz w:val="20"/>
                      <w:szCs w:val="20"/>
                    </w:rPr>
                  </w:pPr>
                  <w:r>
                    <w:rPr>
                      <w:rFonts w:ascii="Times New Roman" w:hAnsi="Times New Roman"/>
                      <w:sz w:val="20"/>
                      <w:szCs w:val="20"/>
                    </w:rPr>
                    <w:t>9.5*64*T</w:t>
                  </w:r>
                  <w:r>
                    <w:rPr>
                      <w:rFonts w:ascii="Times New Roman" w:hAnsi="Times New Roman"/>
                      <w:sz w:val="20"/>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nil"/>
                    <w:left w:val="single" w:color="auto" w:sz="4" w:space="0"/>
                    <w:bottom w:val="nil"/>
                    <w:right w:val="single" w:color="auto" w:sz="4" w:space="0"/>
                  </w:tcBorders>
                  <w:vAlign w:val="center"/>
                </w:tcPr>
                <w:p>
                  <w:pPr>
                    <w:pStyle w:val="34"/>
                    <w:rPr>
                      <w:rFonts w:ascii="Times New Roman" w:hAnsi="Times New Roman"/>
                      <w:sz w:val="20"/>
                      <w:szCs w:val="20"/>
                    </w:rPr>
                  </w:pPr>
                </w:p>
              </w:tc>
              <w:tc>
                <w:tcPr>
                  <w:tcW w:w="1280" w:type="pct"/>
                  <w:tcBorders>
                    <w:top w:val="single" w:color="auto" w:sz="4" w:space="0"/>
                    <w:left w:val="single" w:color="auto" w:sz="4" w:space="0"/>
                    <w:bottom w:val="single" w:color="auto" w:sz="4" w:space="0"/>
                    <w:right w:val="single" w:color="auto" w:sz="4" w:space="0"/>
                  </w:tcBorders>
                </w:tcPr>
                <w:p>
                  <w:pPr>
                    <w:pStyle w:val="34"/>
                    <w:rPr>
                      <w:rFonts w:ascii="Times New Roman" w:hAnsi="Times New Roman"/>
                      <w:sz w:val="20"/>
                      <w:szCs w:val="20"/>
                    </w:rPr>
                  </w:pPr>
                  <w:r>
                    <w:rPr>
                      <w:rFonts w:ascii="Times New Roman" w:hAnsi="Times New Roman"/>
                      <w:sz w:val="20"/>
                      <w:szCs w:val="20"/>
                    </w:rPr>
                    <w:t>30</w:t>
                  </w:r>
                </w:p>
              </w:tc>
              <w:tc>
                <w:tcPr>
                  <w:tcW w:w="1257" w:type="pct"/>
                  <w:tcBorders>
                    <w:top w:val="single" w:color="auto" w:sz="4" w:space="0"/>
                    <w:left w:val="single" w:color="auto" w:sz="4" w:space="0"/>
                    <w:bottom w:val="single" w:color="auto" w:sz="4" w:space="0"/>
                    <w:right w:val="single" w:color="auto" w:sz="4" w:space="0"/>
                  </w:tcBorders>
                </w:tcPr>
                <w:p>
                  <w:pPr>
                    <w:pStyle w:val="34"/>
                    <w:rPr>
                      <w:rFonts w:ascii="Times New Roman" w:hAnsi="Times New Roman"/>
                      <w:sz w:val="20"/>
                      <w:szCs w:val="20"/>
                    </w:rPr>
                  </w:pPr>
                  <w:r>
                    <w:rPr>
                      <w:rFonts w:ascii="Times New Roman" w:hAnsi="Times New Roman"/>
                      <w:sz w:val="20"/>
                      <w:szCs w:val="20"/>
                    </w:rPr>
                    <w:t>9.5*64*T</w:t>
                  </w:r>
                  <w:r>
                    <w:rPr>
                      <w:rFonts w:ascii="Times New Roman" w:hAnsi="Times New Roman"/>
                      <w:sz w:val="20"/>
                      <w:szCs w:val="20"/>
                      <w:vertAlign w:val="subscript"/>
                    </w:rPr>
                    <w:t>c</w:t>
                  </w:r>
                </w:p>
              </w:tc>
              <w:tc>
                <w:tcPr>
                  <w:tcW w:w="1258" w:type="pct"/>
                  <w:tcBorders>
                    <w:top w:val="single" w:color="auto" w:sz="4" w:space="0"/>
                    <w:left w:val="single" w:color="auto" w:sz="4" w:space="0"/>
                    <w:bottom w:val="single" w:color="auto" w:sz="4" w:space="0"/>
                    <w:right w:val="single" w:color="auto" w:sz="4" w:space="0"/>
                  </w:tcBorders>
                </w:tcPr>
                <w:p>
                  <w:pPr>
                    <w:pStyle w:val="34"/>
                    <w:rPr>
                      <w:rFonts w:ascii="Times New Roman" w:hAnsi="Times New Roman"/>
                      <w:sz w:val="20"/>
                      <w:szCs w:val="20"/>
                    </w:rPr>
                  </w:pPr>
                  <w:r>
                    <w:rPr>
                      <w:rFonts w:ascii="Times New Roman" w:hAnsi="Times New Roman"/>
                      <w:sz w:val="20"/>
                      <w:szCs w:val="20"/>
                    </w:rPr>
                    <w:t>9.5*64*T</w:t>
                  </w:r>
                  <w:r>
                    <w:rPr>
                      <w:rFonts w:ascii="Times New Roman" w:hAnsi="Times New Roman"/>
                      <w:sz w:val="20"/>
                      <w:szCs w:val="20"/>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nil"/>
                    <w:left w:val="single" w:color="auto" w:sz="4" w:space="0"/>
                    <w:bottom w:val="single" w:color="auto" w:sz="4" w:space="0"/>
                    <w:right w:val="single" w:color="auto" w:sz="4" w:space="0"/>
                  </w:tcBorders>
                  <w:vAlign w:val="center"/>
                </w:tcPr>
                <w:p>
                  <w:pPr>
                    <w:pStyle w:val="34"/>
                    <w:rPr>
                      <w:rFonts w:ascii="Times New Roman" w:hAnsi="Times New Roman"/>
                      <w:sz w:val="20"/>
                      <w:szCs w:val="20"/>
                    </w:rPr>
                  </w:pPr>
                </w:p>
              </w:tc>
              <w:tc>
                <w:tcPr>
                  <w:tcW w:w="1280" w:type="pct"/>
                  <w:tcBorders>
                    <w:top w:val="single" w:color="auto" w:sz="4" w:space="0"/>
                    <w:left w:val="single" w:color="auto" w:sz="4" w:space="0"/>
                    <w:bottom w:val="single" w:color="auto" w:sz="4" w:space="0"/>
                    <w:right w:val="single" w:color="auto" w:sz="4" w:space="0"/>
                  </w:tcBorders>
                </w:tcPr>
                <w:p>
                  <w:pPr>
                    <w:pStyle w:val="34"/>
                    <w:rPr>
                      <w:rFonts w:ascii="Times New Roman" w:hAnsi="Times New Roman"/>
                      <w:sz w:val="20"/>
                      <w:szCs w:val="20"/>
                    </w:rPr>
                  </w:pPr>
                  <w:r>
                    <w:rPr>
                      <w:rFonts w:ascii="Times New Roman" w:hAnsi="Times New Roman"/>
                      <w:sz w:val="20"/>
                      <w:szCs w:val="20"/>
                    </w:rPr>
                    <w:t>60</w:t>
                  </w:r>
                </w:p>
              </w:tc>
              <w:tc>
                <w:tcPr>
                  <w:tcW w:w="1257" w:type="pct"/>
                  <w:tcBorders>
                    <w:top w:val="single" w:color="auto" w:sz="4" w:space="0"/>
                    <w:left w:val="single" w:color="auto" w:sz="4" w:space="0"/>
                    <w:bottom w:val="single" w:color="auto" w:sz="4" w:space="0"/>
                    <w:right w:val="single" w:color="auto" w:sz="4" w:space="0"/>
                  </w:tcBorders>
                </w:tcPr>
                <w:p>
                  <w:pPr>
                    <w:pStyle w:val="34"/>
                    <w:rPr>
                      <w:rFonts w:ascii="Times New Roman" w:hAnsi="Times New Roman"/>
                      <w:sz w:val="20"/>
                      <w:szCs w:val="20"/>
                    </w:rPr>
                  </w:pPr>
                  <w:r>
                    <w:rPr>
                      <w:rFonts w:ascii="Times New Roman" w:hAnsi="Times New Roman"/>
                      <w:sz w:val="20"/>
                      <w:szCs w:val="20"/>
                    </w:rPr>
                    <w:t>N/A</w:t>
                  </w:r>
                </w:p>
              </w:tc>
              <w:tc>
                <w:tcPr>
                  <w:tcW w:w="1258" w:type="pct"/>
                  <w:tcBorders>
                    <w:top w:val="single" w:color="auto" w:sz="4" w:space="0"/>
                    <w:left w:val="single" w:color="auto" w:sz="4" w:space="0"/>
                    <w:bottom w:val="single" w:color="auto" w:sz="4" w:space="0"/>
                    <w:right w:val="single" w:color="auto" w:sz="4" w:space="0"/>
                  </w:tcBorders>
                </w:tcPr>
                <w:p>
                  <w:pPr>
                    <w:pStyle w:val="34"/>
                    <w:rPr>
                      <w:rFonts w:ascii="Times New Roman" w:hAnsi="Times New Roman"/>
                      <w:sz w:val="20"/>
                      <w:szCs w:val="20"/>
                    </w:rPr>
                  </w:pPr>
                  <w:r>
                    <w:rPr>
                      <w:rFonts w:ascii="Times New Roman" w:hAnsi="Times New Roman"/>
                      <w:sz w:val="20"/>
                      <w:szCs w:val="20"/>
                    </w:rPr>
                    <w:t>N/A</w:t>
                  </w:r>
                </w:p>
              </w:tc>
            </w:tr>
          </w:tbl>
          <w:p>
            <w:pPr>
              <w:rPr>
                <w:rFonts w:eastAsiaTheme="minorEastAsia"/>
                <w:b/>
                <w:sz w:val="20"/>
                <w:szCs w:val="20"/>
                <w:u w:val="single"/>
              </w:rPr>
            </w:pPr>
            <w:r>
              <w:rPr>
                <w:b/>
                <w:sz w:val="20"/>
                <w:szCs w:val="20"/>
                <w:u w:val="single"/>
                <w:lang w:eastAsia="ko-KR"/>
              </w:rPr>
              <w:t>Issue 3-2-1: Guard period issue due to large TDD cell and coexistence demand</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 xml:space="preserve">: </w:t>
            </w:r>
          </w:p>
          <w:p>
            <w:pPr>
              <w:pStyle w:val="28"/>
              <w:numPr>
                <w:ilvl w:val="0"/>
                <w:numId w:val="4"/>
              </w:numPr>
              <w:ind w:firstLineChars="0"/>
              <w:rPr>
                <w:rFonts w:hint="default"/>
                <w:b/>
                <w:sz w:val="20"/>
                <w:szCs w:val="20"/>
                <w:u w:val="single"/>
                <w:lang w:val="en-US" w:eastAsia="zh-CN"/>
              </w:rPr>
            </w:pPr>
            <w:r>
              <w:rPr>
                <w:rFonts w:hint="eastAsia" w:eastAsiaTheme="minorEastAsia"/>
                <w:iCs/>
                <w:sz w:val="20"/>
                <w:szCs w:val="20"/>
              </w:rPr>
              <w:t xml:space="preserve">FFS on </w:t>
            </w:r>
            <w:r>
              <w:rPr>
                <w:rFonts w:hint="eastAsia" w:eastAsia="宋体" w:cs="Times New Roman"/>
                <w:sz w:val="20"/>
                <w:szCs w:val="20"/>
              </w:rPr>
              <w:t>whether and how to address guard period issue due to large TDD cell and coexistence demand.</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Until right now, all issues related with timing and frequency adjustment have been identified. Only the issue around guard period due to large TDD cell is still suspending. In this document, we provide analysis regarding this issue.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lang w:val="en-US" w:eastAsia="zh-CN"/>
        </w:rPr>
      </w:pPr>
      <w:r>
        <w:rPr>
          <w:rFonts w:hint="eastAsia" w:eastAsia="宋体"/>
          <w:color w:val="auto"/>
          <w:sz w:val="20"/>
          <w:szCs w:val="20"/>
          <w:lang w:val="en-US" w:eastAsia="zh-CN"/>
        </w:rPr>
        <w:t>Considering the allowed large ISD deployment in ATG scenario, for TDD, to avoid the interference between DL and UL, large GP is possible to be configured for the ATG frame pattern. While in last meeting, the optimization of determining a relative precise GP is proposed by some companies, to help the NW to decide such so-called relative precise GP, some UE assistant info is needed to report NW, such as the propagation delay info reporting, TA reporting are proposed by the concerned companies.</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In general, NW would determine a uniform GP based on the comprehensive UE distribution served by the cell or the whole cell coverage. It is wired to let NW decide the GP based on each UE specific info since the UE-specific GP would lead to DL-UL interference between different links. </w:t>
      </w:r>
    </w:p>
    <w:p>
      <w:pPr>
        <w:pStyle w:val="4"/>
        <w:rPr>
          <w:rFonts w:hint="eastAsia" w:eastAsia="宋体"/>
          <w:color w:val="auto"/>
          <w:sz w:val="20"/>
          <w:szCs w:val="20"/>
          <w:lang w:val="en-US" w:eastAsia="zh-CN"/>
        </w:rPr>
      </w:pPr>
      <w:r>
        <w:rPr>
          <w:rFonts w:hint="eastAsia" w:eastAsia="宋体"/>
          <w:color w:val="auto"/>
          <w:sz w:val="20"/>
          <w:szCs w:val="20"/>
          <w:lang w:val="en-US" w:eastAsia="zh-CN"/>
        </w:rPr>
        <w:t>For ATG scenario, it is impossible to let one cell Only cover a single airplane. Within one ATG cell, if the airline is not busy, then about 3-5 airplanes are covered by one cell. While for busy case, it is about 10 airplanes are covered by one cell. To avoid the interference between different links, the GP should be determined by the cell coverage, which should be common for all UEs served by this cell, not UE specific. So we do not see the necessary to report UE specific info to NW.</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Within one ATG cell, no matter the airline is busy or not, it is impossible to only cover a single airplane for one cell. Usually multiple airplanes are cover by one cell.</w:t>
      </w:r>
    </w:p>
    <w:p>
      <w:pPr>
        <w:pStyle w:val="4"/>
        <w:rPr>
          <w:rFonts w:hint="eastAsia" w:eastAsia="宋体"/>
          <w:color w:val="auto"/>
          <w:sz w:val="20"/>
          <w:szCs w:val="20"/>
          <w:lang w:val="en-US" w:eastAsia="zh-CN"/>
        </w:rPr>
      </w:pPr>
      <w:r>
        <w:rPr>
          <w:rFonts w:hint="eastAsia" w:eastAsia="宋体"/>
          <w:color w:val="auto"/>
          <w:sz w:val="20"/>
          <w:szCs w:val="20"/>
          <w:lang w:val="en-US" w:eastAsia="zh-CN"/>
        </w:rPr>
        <w:t>Regarding the proposed TA reporting introduced in R17 NTN, the main intention of such UE assistant info aims to serve the mechanism of K</w:t>
      </w:r>
      <w:r>
        <w:rPr>
          <w:rFonts w:hint="eastAsia" w:eastAsia="宋体"/>
          <w:color w:val="auto"/>
          <w:sz w:val="15"/>
          <w:szCs w:val="15"/>
          <w:lang w:val="en-US" w:eastAsia="zh-CN"/>
        </w:rPr>
        <w:t>offset</w:t>
      </w:r>
      <w:r>
        <w:rPr>
          <w:rFonts w:hint="eastAsia" w:eastAsia="宋体"/>
          <w:color w:val="auto"/>
          <w:sz w:val="20"/>
          <w:szCs w:val="20"/>
          <w:lang w:val="en-US" w:eastAsia="zh-CN"/>
        </w:rPr>
        <w:t>. Since of too large propagation delay in NTN, so NW needs some reference to determine the value of K</w:t>
      </w:r>
      <w:r>
        <w:rPr>
          <w:rFonts w:hint="eastAsia" w:eastAsia="宋体"/>
          <w:color w:val="auto"/>
          <w:sz w:val="15"/>
          <w:szCs w:val="15"/>
          <w:lang w:val="en-US" w:eastAsia="zh-CN"/>
        </w:rPr>
        <w:t>offset</w:t>
      </w:r>
      <w:r>
        <w:rPr>
          <w:rFonts w:hint="eastAsia" w:eastAsia="宋体"/>
          <w:color w:val="auto"/>
          <w:sz w:val="20"/>
          <w:szCs w:val="20"/>
          <w:lang w:val="en-US" w:eastAsia="zh-CN"/>
        </w:rPr>
        <w:t>, while under ATG scenario, not face such extreme large propagation delay.</w:t>
      </w:r>
    </w:p>
    <w:p>
      <w:pPr>
        <w:pStyle w:val="4"/>
        <w:rPr>
          <w:rFonts w:hint="eastAsia" w:eastAsia="宋体"/>
          <w:color w:val="auto"/>
          <w:sz w:val="20"/>
          <w:szCs w:val="20"/>
          <w:lang w:val="en-US" w:eastAsia="zh-CN"/>
        </w:rPr>
      </w:pPr>
      <w:r>
        <w:rPr>
          <w:rFonts w:hint="eastAsia" w:eastAsia="宋体"/>
          <w:color w:val="auto"/>
          <w:sz w:val="20"/>
          <w:szCs w:val="20"/>
          <w:lang w:val="en-US" w:eastAsia="zh-CN"/>
        </w:rPr>
        <w:t>Consequently, to consider the large GP in TDD deployment of ATG, it is not necessary to introduce such UE assistant info. NW would determine the GP based on the cell coverage, not UE specific info.</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NW determines the unified GP length based on cell coverage, no need to introduce UE assistant info reporting.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spacing w:before="156" w:beforeLines="50"/>
        <w:rPr>
          <w:rFonts w:hint="eastAsia" w:eastAsia="宋体"/>
          <w:color w:val="auto"/>
          <w:sz w:val="20"/>
          <w:szCs w:val="20"/>
          <w:lang w:val="en-GB" w:eastAsia="zh-CN"/>
        </w:rPr>
      </w:pPr>
      <w:r>
        <w:rPr>
          <w:rFonts w:hint="eastAsia" w:eastAsia="宋体"/>
          <w:color w:val="auto"/>
          <w:sz w:val="20"/>
          <w:szCs w:val="20"/>
          <w:lang w:val="en-GB" w:eastAsia="zh-CN"/>
        </w:rPr>
        <w:t xml:space="preserve">In this </w:t>
      </w:r>
      <w:r>
        <w:rPr>
          <w:rFonts w:hint="eastAsia" w:eastAsia="宋体"/>
          <w:color w:val="auto"/>
          <w:sz w:val="20"/>
          <w:szCs w:val="20"/>
          <w:lang w:val="en-US" w:eastAsia="zh-CN"/>
        </w:rPr>
        <w:t>contribution</w:t>
      </w:r>
      <w:r>
        <w:rPr>
          <w:rFonts w:hint="eastAsia" w:eastAsia="宋体"/>
          <w:color w:val="auto"/>
          <w:sz w:val="20"/>
          <w:szCs w:val="20"/>
          <w:lang w:val="en-GB" w:eastAsia="zh-CN"/>
        </w:rPr>
        <w:t>, we have the following proposals</w:t>
      </w:r>
      <w:r>
        <w:rPr>
          <w:rFonts w:hint="eastAsia" w:eastAsia="宋体"/>
          <w:color w:val="auto"/>
          <w:sz w:val="20"/>
          <w:szCs w:val="20"/>
          <w:lang w:val="en-US" w:eastAsia="zh-CN"/>
        </w:rPr>
        <w:t xml:space="preserve"> </w:t>
      </w:r>
      <w:r>
        <w:rPr>
          <w:rFonts w:hint="eastAsia" w:eastAsia="宋体"/>
          <w:color w:val="auto"/>
          <w:sz w:val="20"/>
          <w:szCs w:val="20"/>
          <w:lang w:val="en-GB" w:eastAsia="zh-CN"/>
        </w:rPr>
        <w:t xml:space="preserve">for </w:t>
      </w:r>
      <w:r>
        <w:rPr>
          <w:rFonts w:hint="eastAsia" w:eastAsia="宋体"/>
          <w:color w:val="auto"/>
          <w:sz w:val="20"/>
          <w:szCs w:val="20"/>
          <w:lang w:val="en-US" w:eastAsia="zh-CN"/>
        </w:rPr>
        <w:t>the consideration of large TDD cell impaction for ATG system</w:t>
      </w:r>
      <w:r>
        <w:rPr>
          <w:rFonts w:hint="eastAsia" w:eastAsia="宋体"/>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Within one ATG cell, no matter the airline is busy or not, it is impossible to only cover a single airplane for one cell. Usually multiple airplanes are cover by one cell.</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NW determines the unified GP length based on cell coverage, no need to introduce UE assistant info reporting.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5"/>
        </w:numPr>
        <w:ind w:left="0" w:leftChars="0" w:firstLine="0" w:firstLineChars="0"/>
        <w:rPr>
          <w:rFonts w:hint="default"/>
          <w:color w:val="auto"/>
          <w:lang w:val="en-US" w:eastAsia="zh-CN"/>
        </w:rPr>
      </w:pPr>
      <w:r>
        <w:rPr>
          <w:rFonts w:hint="eastAsia"/>
          <w:color w:val="auto"/>
          <w:lang w:val="en-US" w:eastAsia="zh-CN"/>
        </w:rPr>
        <w:t xml:space="preserve">R4-2310159 </w:t>
      </w:r>
      <w:r>
        <w:rPr>
          <w:rFonts w:hint="default"/>
          <w:color w:val="auto"/>
          <w:lang w:val="en-US" w:eastAsia="zh-CN"/>
        </w:rPr>
        <w:t>“</w:t>
      </w:r>
      <w:bookmarkStart w:id="0" w:name="_Hlk41145953"/>
      <w:r>
        <w:rPr>
          <w:rFonts w:hint="default"/>
          <w:color w:val="auto"/>
          <w:lang w:val="en-US" w:eastAsia="zh-CN"/>
        </w:rPr>
        <w:t>WF on NR ATG RRM</w:t>
      </w:r>
      <w:bookmarkEnd w:id="0"/>
      <w:r>
        <w:rPr>
          <w:rFonts w:hint="default"/>
          <w:color w:val="auto"/>
          <w:lang w:val="en-US" w:eastAsia="zh-CN"/>
        </w:rPr>
        <w:t xml:space="preserve"> requirements”</w:t>
      </w:r>
      <w:r>
        <w:rPr>
          <w:rFonts w:hint="eastAsia"/>
          <w:color w:val="auto"/>
          <w:lang w:val="en-US" w:eastAsia="zh-CN"/>
        </w:rPr>
        <w:t>, CMCC</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D7616"/>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401641"/>
    <w:rsid w:val="06963BA6"/>
    <w:rsid w:val="07CD3CDD"/>
    <w:rsid w:val="083E6EA0"/>
    <w:rsid w:val="0855671D"/>
    <w:rsid w:val="089009EB"/>
    <w:rsid w:val="08EA2407"/>
    <w:rsid w:val="09716BCA"/>
    <w:rsid w:val="099E0FAE"/>
    <w:rsid w:val="09D64B23"/>
    <w:rsid w:val="09E644B8"/>
    <w:rsid w:val="0A1C7F03"/>
    <w:rsid w:val="0A867423"/>
    <w:rsid w:val="0AB155C2"/>
    <w:rsid w:val="0B12013A"/>
    <w:rsid w:val="0B3D3C2F"/>
    <w:rsid w:val="0BB0429A"/>
    <w:rsid w:val="0BDD6CEC"/>
    <w:rsid w:val="0BFF5FC6"/>
    <w:rsid w:val="0C394019"/>
    <w:rsid w:val="0CD05342"/>
    <w:rsid w:val="0CDB4E5B"/>
    <w:rsid w:val="0CF11916"/>
    <w:rsid w:val="0D3024B8"/>
    <w:rsid w:val="0D5201AB"/>
    <w:rsid w:val="0DEE745F"/>
    <w:rsid w:val="0E2007EA"/>
    <w:rsid w:val="0ED83027"/>
    <w:rsid w:val="0F9D01A4"/>
    <w:rsid w:val="0FAD3D1E"/>
    <w:rsid w:val="10207CA1"/>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469B6"/>
    <w:rsid w:val="1856323E"/>
    <w:rsid w:val="185D2497"/>
    <w:rsid w:val="18AF55E3"/>
    <w:rsid w:val="18B077E2"/>
    <w:rsid w:val="18B1519A"/>
    <w:rsid w:val="18CD0507"/>
    <w:rsid w:val="18E471EF"/>
    <w:rsid w:val="18F36BA5"/>
    <w:rsid w:val="192558B8"/>
    <w:rsid w:val="195D7D48"/>
    <w:rsid w:val="1AD01A1B"/>
    <w:rsid w:val="1B61065A"/>
    <w:rsid w:val="1BBF3927"/>
    <w:rsid w:val="1BE40118"/>
    <w:rsid w:val="1C177B08"/>
    <w:rsid w:val="1C9001C6"/>
    <w:rsid w:val="1CBA2101"/>
    <w:rsid w:val="1D0573D7"/>
    <w:rsid w:val="1D153DC4"/>
    <w:rsid w:val="1D223E0B"/>
    <w:rsid w:val="1D317C9F"/>
    <w:rsid w:val="1E132F88"/>
    <w:rsid w:val="1E2867E9"/>
    <w:rsid w:val="1E853F6F"/>
    <w:rsid w:val="1E9C7BCC"/>
    <w:rsid w:val="1ECC1E3C"/>
    <w:rsid w:val="208364FC"/>
    <w:rsid w:val="208953F9"/>
    <w:rsid w:val="20AA18E5"/>
    <w:rsid w:val="21014C39"/>
    <w:rsid w:val="21244EB1"/>
    <w:rsid w:val="213964D8"/>
    <w:rsid w:val="21595D04"/>
    <w:rsid w:val="21774630"/>
    <w:rsid w:val="21E9773D"/>
    <w:rsid w:val="21F13629"/>
    <w:rsid w:val="21F81584"/>
    <w:rsid w:val="2201030F"/>
    <w:rsid w:val="223236B6"/>
    <w:rsid w:val="2255462C"/>
    <w:rsid w:val="2305377E"/>
    <w:rsid w:val="23901822"/>
    <w:rsid w:val="24122135"/>
    <w:rsid w:val="24D4257E"/>
    <w:rsid w:val="24DF00B0"/>
    <w:rsid w:val="2572202B"/>
    <w:rsid w:val="258B7C43"/>
    <w:rsid w:val="25B00E1B"/>
    <w:rsid w:val="25B643F9"/>
    <w:rsid w:val="2605683C"/>
    <w:rsid w:val="268167CC"/>
    <w:rsid w:val="26BB1419"/>
    <w:rsid w:val="27B748AA"/>
    <w:rsid w:val="27CB4CB9"/>
    <w:rsid w:val="281B0617"/>
    <w:rsid w:val="281C2F58"/>
    <w:rsid w:val="282E010A"/>
    <w:rsid w:val="29642C4B"/>
    <w:rsid w:val="2A34628C"/>
    <w:rsid w:val="2A3B006D"/>
    <w:rsid w:val="2A724D05"/>
    <w:rsid w:val="2A7E505C"/>
    <w:rsid w:val="2AC85686"/>
    <w:rsid w:val="2AD04B5F"/>
    <w:rsid w:val="2AF443E5"/>
    <w:rsid w:val="2B8A3934"/>
    <w:rsid w:val="2BC05B2C"/>
    <w:rsid w:val="2BD617C5"/>
    <w:rsid w:val="2BEB05B3"/>
    <w:rsid w:val="2C112837"/>
    <w:rsid w:val="2C9B1252"/>
    <w:rsid w:val="2C9C2786"/>
    <w:rsid w:val="2CC13667"/>
    <w:rsid w:val="2D794401"/>
    <w:rsid w:val="2DF1167C"/>
    <w:rsid w:val="2E014790"/>
    <w:rsid w:val="2EE77680"/>
    <w:rsid w:val="2F2F0FC8"/>
    <w:rsid w:val="2FA70460"/>
    <w:rsid w:val="301C6BB6"/>
    <w:rsid w:val="30F11994"/>
    <w:rsid w:val="319708F2"/>
    <w:rsid w:val="31A8260E"/>
    <w:rsid w:val="31B14C9E"/>
    <w:rsid w:val="32382EAE"/>
    <w:rsid w:val="332B149D"/>
    <w:rsid w:val="33C522D7"/>
    <w:rsid w:val="344C156B"/>
    <w:rsid w:val="34807672"/>
    <w:rsid w:val="34A8281E"/>
    <w:rsid w:val="35B06C6A"/>
    <w:rsid w:val="366149EB"/>
    <w:rsid w:val="36941AA2"/>
    <w:rsid w:val="36D37423"/>
    <w:rsid w:val="37210963"/>
    <w:rsid w:val="379D23F9"/>
    <w:rsid w:val="388B255E"/>
    <w:rsid w:val="396B32D2"/>
    <w:rsid w:val="3A185287"/>
    <w:rsid w:val="3A1F46B8"/>
    <w:rsid w:val="3A692CD0"/>
    <w:rsid w:val="3AAE4AA7"/>
    <w:rsid w:val="3AF23299"/>
    <w:rsid w:val="3B270929"/>
    <w:rsid w:val="3B3D5571"/>
    <w:rsid w:val="3B673620"/>
    <w:rsid w:val="3B9A1F29"/>
    <w:rsid w:val="3BF631F5"/>
    <w:rsid w:val="3C765285"/>
    <w:rsid w:val="3CE4646B"/>
    <w:rsid w:val="3CFC1228"/>
    <w:rsid w:val="3D14125D"/>
    <w:rsid w:val="3D5E7AA8"/>
    <w:rsid w:val="3D6F2596"/>
    <w:rsid w:val="3D946587"/>
    <w:rsid w:val="3E5F0ACE"/>
    <w:rsid w:val="3E942A37"/>
    <w:rsid w:val="3F85798B"/>
    <w:rsid w:val="405F175E"/>
    <w:rsid w:val="40C765F3"/>
    <w:rsid w:val="40FE7215"/>
    <w:rsid w:val="42F869D2"/>
    <w:rsid w:val="43553536"/>
    <w:rsid w:val="44972678"/>
    <w:rsid w:val="451632B9"/>
    <w:rsid w:val="45262990"/>
    <w:rsid w:val="45906394"/>
    <w:rsid w:val="45B415CB"/>
    <w:rsid w:val="45F60A50"/>
    <w:rsid w:val="46142D0C"/>
    <w:rsid w:val="46263A53"/>
    <w:rsid w:val="46970A81"/>
    <w:rsid w:val="46B036BF"/>
    <w:rsid w:val="46CC320F"/>
    <w:rsid w:val="47282363"/>
    <w:rsid w:val="472C785C"/>
    <w:rsid w:val="47810C98"/>
    <w:rsid w:val="47924F0A"/>
    <w:rsid w:val="47D2373B"/>
    <w:rsid w:val="48432631"/>
    <w:rsid w:val="48F407FD"/>
    <w:rsid w:val="49DC4EAC"/>
    <w:rsid w:val="49E55BC5"/>
    <w:rsid w:val="4A5D0BB5"/>
    <w:rsid w:val="4A6B2056"/>
    <w:rsid w:val="4A912B7F"/>
    <w:rsid w:val="4B600E77"/>
    <w:rsid w:val="4B8F684D"/>
    <w:rsid w:val="4BF02011"/>
    <w:rsid w:val="4C1C63D6"/>
    <w:rsid w:val="4C2775C3"/>
    <w:rsid w:val="4C2D52ED"/>
    <w:rsid w:val="4C4B2837"/>
    <w:rsid w:val="4C864A35"/>
    <w:rsid w:val="4D207A05"/>
    <w:rsid w:val="4D53283E"/>
    <w:rsid w:val="4D8F4899"/>
    <w:rsid w:val="4DA11BF2"/>
    <w:rsid w:val="4E015C76"/>
    <w:rsid w:val="4E310026"/>
    <w:rsid w:val="4E4A2325"/>
    <w:rsid w:val="4E9E6ADA"/>
    <w:rsid w:val="4FC7362A"/>
    <w:rsid w:val="501A6C55"/>
    <w:rsid w:val="50E6713C"/>
    <w:rsid w:val="51522B0F"/>
    <w:rsid w:val="515B1740"/>
    <w:rsid w:val="51B14BED"/>
    <w:rsid w:val="52526454"/>
    <w:rsid w:val="52575A99"/>
    <w:rsid w:val="525C1CEF"/>
    <w:rsid w:val="528B5767"/>
    <w:rsid w:val="52D33625"/>
    <w:rsid w:val="534273EB"/>
    <w:rsid w:val="53A3105E"/>
    <w:rsid w:val="53C64B93"/>
    <w:rsid w:val="53C65BDB"/>
    <w:rsid w:val="548A6C60"/>
    <w:rsid w:val="55B1164D"/>
    <w:rsid w:val="55B4735E"/>
    <w:rsid w:val="55BB221D"/>
    <w:rsid w:val="56371459"/>
    <w:rsid w:val="56484633"/>
    <w:rsid w:val="57D039F0"/>
    <w:rsid w:val="57FF4799"/>
    <w:rsid w:val="58D0053D"/>
    <w:rsid w:val="59165279"/>
    <w:rsid w:val="595A2A3C"/>
    <w:rsid w:val="598C40A0"/>
    <w:rsid w:val="59DA647E"/>
    <w:rsid w:val="5A556E1A"/>
    <w:rsid w:val="5BA06278"/>
    <w:rsid w:val="5BF92FF2"/>
    <w:rsid w:val="5C924E81"/>
    <w:rsid w:val="5E2864D0"/>
    <w:rsid w:val="5E494511"/>
    <w:rsid w:val="5EB44FC0"/>
    <w:rsid w:val="5F5D3CFF"/>
    <w:rsid w:val="5FBA395F"/>
    <w:rsid w:val="60094E5C"/>
    <w:rsid w:val="606F38F4"/>
    <w:rsid w:val="60EC2CBA"/>
    <w:rsid w:val="61CC2D28"/>
    <w:rsid w:val="61E0126B"/>
    <w:rsid w:val="63431026"/>
    <w:rsid w:val="635902CD"/>
    <w:rsid w:val="64706BBE"/>
    <w:rsid w:val="64F2095B"/>
    <w:rsid w:val="65A16A49"/>
    <w:rsid w:val="662F3E67"/>
    <w:rsid w:val="674E154D"/>
    <w:rsid w:val="67A858DB"/>
    <w:rsid w:val="67FE4166"/>
    <w:rsid w:val="684A154D"/>
    <w:rsid w:val="688E0EBE"/>
    <w:rsid w:val="68C401C3"/>
    <w:rsid w:val="69A833BD"/>
    <w:rsid w:val="69EF6835"/>
    <w:rsid w:val="6BD10CF1"/>
    <w:rsid w:val="6D566F0F"/>
    <w:rsid w:val="6D836F72"/>
    <w:rsid w:val="6DDE3DAF"/>
    <w:rsid w:val="6E3241BE"/>
    <w:rsid w:val="6EB97A9D"/>
    <w:rsid w:val="6EEC187D"/>
    <w:rsid w:val="6EF10A90"/>
    <w:rsid w:val="6EFC7DED"/>
    <w:rsid w:val="6F077DB2"/>
    <w:rsid w:val="6F2A7FBF"/>
    <w:rsid w:val="6FEB76BE"/>
    <w:rsid w:val="6FFF1868"/>
    <w:rsid w:val="70025DE4"/>
    <w:rsid w:val="715F4C2D"/>
    <w:rsid w:val="722F78FB"/>
    <w:rsid w:val="723C2F8E"/>
    <w:rsid w:val="723D67C5"/>
    <w:rsid w:val="726A5F44"/>
    <w:rsid w:val="72793AC9"/>
    <w:rsid w:val="72BF60CA"/>
    <w:rsid w:val="72F41282"/>
    <w:rsid w:val="733D0D32"/>
    <w:rsid w:val="73B76769"/>
    <w:rsid w:val="73D411F1"/>
    <w:rsid w:val="748C4434"/>
    <w:rsid w:val="74A356B2"/>
    <w:rsid w:val="753811DE"/>
    <w:rsid w:val="75BE67D4"/>
    <w:rsid w:val="75C2004C"/>
    <w:rsid w:val="75C759C1"/>
    <w:rsid w:val="76281B03"/>
    <w:rsid w:val="762D64F3"/>
    <w:rsid w:val="762E20AD"/>
    <w:rsid w:val="767E7EFF"/>
    <w:rsid w:val="771F7B79"/>
    <w:rsid w:val="775B4604"/>
    <w:rsid w:val="77C067C3"/>
    <w:rsid w:val="77E23494"/>
    <w:rsid w:val="77FC6F68"/>
    <w:rsid w:val="78074939"/>
    <w:rsid w:val="788B02B1"/>
    <w:rsid w:val="78911E31"/>
    <w:rsid w:val="78F9732D"/>
    <w:rsid w:val="7922350F"/>
    <w:rsid w:val="792B5470"/>
    <w:rsid w:val="79365B60"/>
    <w:rsid w:val="79FF29F1"/>
    <w:rsid w:val="7A9367CB"/>
    <w:rsid w:val="7AF22571"/>
    <w:rsid w:val="7B0720CF"/>
    <w:rsid w:val="7B4C0E47"/>
    <w:rsid w:val="7B69224B"/>
    <w:rsid w:val="7BE51C69"/>
    <w:rsid w:val="7BE80F25"/>
    <w:rsid w:val="7C1C35A7"/>
    <w:rsid w:val="7C45431D"/>
    <w:rsid w:val="7D25352B"/>
    <w:rsid w:val="7D3219D5"/>
    <w:rsid w:val="7DDD0501"/>
    <w:rsid w:val="7DE51372"/>
    <w:rsid w:val="7DE5466E"/>
    <w:rsid w:val="7E5E590F"/>
    <w:rsid w:val="7E7467AC"/>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2023-08-11T13:11:33Z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